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030" w14:textId="77777777" w:rsidR="00457B6E" w:rsidRPr="007B4941" w:rsidRDefault="00457B6E" w:rsidP="00457B6E">
      <w:pPr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</w:pPr>
      <w:r w:rsidRPr="007B4941">
        <w:rPr>
          <w:rFonts w:asciiTheme="minorHAnsi" w:eastAsia="Arial Unicode MS" w:hAnsiTheme="minorHAnsi" w:cstheme="minorHAnsi"/>
          <w:b/>
          <w:bCs/>
          <w:sz w:val="24"/>
          <w:szCs w:val="24"/>
          <w:lang w:eastAsia="en-GB"/>
        </w:rPr>
        <w:t>Irish Research Council Budget Reallocations Policy</w:t>
      </w:r>
    </w:p>
    <w:p w14:paraId="097AE764" w14:textId="77777777" w:rsidR="00457B6E" w:rsidRDefault="00457B6E" w:rsidP="00457B6E">
      <w:pPr>
        <w:spacing w:after="0" w:line="240" w:lineRule="auto"/>
        <w:rPr>
          <w:rFonts w:asciiTheme="minorHAnsi" w:eastAsia="Arial Unicode MS" w:hAnsiTheme="minorHAnsi" w:cstheme="minorHAnsi"/>
          <w:u w:val="single"/>
          <w:lang w:eastAsia="en-GB"/>
        </w:rPr>
      </w:pPr>
    </w:p>
    <w:p w14:paraId="4B0B9269" w14:textId="77777777" w:rsidR="00457B6E" w:rsidRPr="00BD25C4" w:rsidRDefault="00457B6E" w:rsidP="00457B6E">
      <w:pPr>
        <w:spacing w:after="0"/>
        <w:rPr>
          <w:rFonts w:asciiTheme="minorHAnsi" w:eastAsia="Arial Unicode MS" w:hAnsiTheme="minorHAnsi" w:cstheme="minorHAnsi"/>
          <w:b/>
          <w:bCs/>
          <w:lang w:eastAsia="en-GB"/>
        </w:rPr>
      </w:pPr>
      <w:r w:rsidRPr="001F00AB">
        <w:rPr>
          <w:rFonts w:asciiTheme="minorHAnsi" w:eastAsia="Arial Unicode MS" w:hAnsiTheme="minorHAnsi" w:cstheme="minorHAnsi"/>
          <w:u w:val="single"/>
          <w:lang w:eastAsia="en-GB"/>
        </w:rPr>
        <w:t>When is a budget reallocation request required?</w:t>
      </w:r>
    </w:p>
    <w:p w14:paraId="15FCB0FF" w14:textId="4E8D1984" w:rsidR="00457B6E" w:rsidRDefault="00457B6E" w:rsidP="00457B6E">
      <w:pPr>
        <w:spacing w:after="0"/>
        <w:jc w:val="both"/>
        <w:rPr>
          <w:rFonts w:asciiTheme="minorHAnsi" w:eastAsia="Arial Unicode MS" w:hAnsiTheme="minorHAnsi" w:cstheme="minorHAnsi"/>
          <w:lang w:eastAsia="en-GB"/>
        </w:rPr>
      </w:pPr>
      <w:r w:rsidRPr="001F00AB">
        <w:rPr>
          <w:rFonts w:asciiTheme="minorHAnsi" w:eastAsia="Arial Unicode MS" w:hAnsiTheme="minorHAnsi" w:cstheme="minorHAnsi"/>
          <w:lang w:eastAsia="en-GB"/>
        </w:rPr>
        <w:t xml:space="preserve">The </w:t>
      </w:r>
      <w:r>
        <w:rPr>
          <w:rFonts w:asciiTheme="minorHAnsi" w:eastAsia="Arial Unicode MS" w:hAnsiTheme="minorHAnsi" w:cstheme="minorHAnsi"/>
          <w:lang w:eastAsia="en-GB"/>
        </w:rPr>
        <w:t xml:space="preserve">Irish Research </w:t>
      </w:r>
      <w:r w:rsidRPr="001F00AB">
        <w:rPr>
          <w:rFonts w:asciiTheme="minorHAnsi" w:eastAsia="Arial Unicode MS" w:hAnsiTheme="minorHAnsi" w:cstheme="minorHAnsi"/>
          <w:lang w:eastAsia="en-GB"/>
        </w:rPr>
        <w:t xml:space="preserve">Council </w:t>
      </w:r>
      <w:r>
        <w:rPr>
          <w:rFonts w:asciiTheme="minorHAnsi" w:eastAsia="Arial Unicode MS" w:hAnsiTheme="minorHAnsi" w:cstheme="minorHAnsi"/>
          <w:lang w:eastAsia="en-GB"/>
        </w:rPr>
        <w:t>(</w:t>
      </w:r>
      <w:r w:rsidR="00ED6C4B">
        <w:rPr>
          <w:rFonts w:asciiTheme="minorHAnsi" w:eastAsia="Arial Unicode MS" w:hAnsiTheme="minorHAnsi" w:cstheme="minorHAnsi"/>
          <w:lang w:eastAsia="en-GB"/>
        </w:rPr>
        <w:t>IRC</w:t>
      </w:r>
      <w:r>
        <w:rPr>
          <w:rFonts w:asciiTheme="minorHAnsi" w:eastAsia="Arial Unicode MS" w:hAnsiTheme="minorHAnsi" w:cstheme="minorHAnsi"/>
          <w:lang w:eastAsia="en-GB"/>
        </w:rPr>
        <w:t xml:space="preserve">) </w:t>
      </w:r>
      <w:r w:rsidRPr="001F00AB">
        <w:rPr>
          <w:rFonts w:asciiTheme="minorHAnsi" w:eastAsia="Arial Unicode MS" w:hAnsiTheme="minorHAnsi" w:cstheme="minorHAnsi"/>
          <w:lang w:eastAsia="en-GB"/>
        </w:rPr>
        <w:t>acknowledges that</w:t>
      </w:r>
      <w:r>
        <w:rPr>
          <w:rFonts w:asciiTheme="minorHAnsi" w:eastAsia="Arial Unicode MS" w:hAnsiTheme="minorHAnsi" w:cstheme="minorHAnsi"/>
          <w:lang w:eastAsia="en-GB"/>
        </w:rPr>
        <w:t>,</w:t>
      </w:r>
      <w:r w:rsidRPr="001F00AB">
        <w:rPr>
          <w:rFonts w:asciiTheme="minorHAnsi" w:eastAsia="Arial Unicode MS" w:hAnsiTheme="minorHAnsi" w:cstheme="minorHAnsi"/>
          <w:lang w:eastAsia="en-GB"/>
        </w:rPr>
        <w:t xml:space="preserve"> following the commencement of an award</w:t>
      </w:r>
      <w:r>
        <w:rPr>
          <w:rFonts w:asciiTheme="minorHAnsi" w:eastAsia="Arial Unicode MS" w:hAnsiTheme="minorHAnsi" w:cstheme="minorHAnsi"/>
          <w:lang w:eastAsia="en-GB"/>
        </w:rPr>
        <w:t>,</w:t>
      </w:r>
      <w:r w:rsidRPr="001F00AB">
        <w:rPr>
          <w:rFonts w:asciiTheme="minorHAnsi" w:eastAsia="Arial Unicode MS" w:hAnsiTheme="minorHAnsi" w:cstheme="minorHAnsi"/>
          <w:lang w:eastAsia="en-GB"/>
        </w:rPr>
        <w:t xml:space="preserve"> a certain degree of flexibility in the management of budgets is required </w:t>
      </w:r>
      <w:proofErr w:type="gramStart"/>
      <w:r w:rsidRPr="001F00AB">
        <w:rPr>
          <w:rFonts w:asciiTheme="minorHAnsi" w:eastAsia="Arial Unicode MS" w:hAnsiTheme="minorHAnsi" w:cstheme="minorHAnsi"/>
          <w:lang w:eastAsia="en-GB"/>
        </w:rPr>
        <w:t>in order to</w:t>
      </w:r>
      <w:proofErr w:type="gramEnd"/>
      <w:r w:rsidRPr="001F00AB">
        <w:rPr>
          <w:rFonts w:asciiTheme="minorHAnsi" w:eastAsia="Arial Unicode MS" w:hAnsiTheme="minorHAnsi" w:cstheme="minorHAnsi"/>
          <w:lang w:eastAsia="en-GB"/>
        </w:rPr>
        <w:t xml:space="preserve"> best achieve the objectives of the funded research.</w:t>
      </w:r>
      <w:r>
        <w:rPr>
          <w:rFonts w:asciiTheme="minorHAnsi" w:eastAsia="Arial Unicode MS" w:hAnsiTheme="minorHAnsi" w:cstheme="minorHAnsi"/>
          <w:lang w:eastAsia="en-GB"/>
        </w:rPr>
        <w:t xml:space="preserve"> It is the </w:t>
      </w:r>
      <w:r w:rsidR="00ED6C4B">
        <w:rPr>
          <w:rFonts w:asciiTheme="minorHAnsi" w:eastAsia="Arial Unicode MS" w:hAnsiTheme="minorHAnsi" w:cstheme="minorHAnsi"/>
          <w:lang w:eastAsia="en-GB"/>
        </w:rPr>
        <w:t>IRC</w:t>
      </w:r>
      <w:r>
        <w:rPr>
          <w:rFonts w:asciiTheme="minorHAnsi" w:eastAsia="Arial Unicode MS" w:hAnsiTheme="minorHAnsi" w:cstheme="minorHAnsi"/>
          <w:lang w:eastAsia="en-GB"/>
        </w:rPr>
        <w:t xml:space="preserve">’s policy to facilitate the reallocation of funds </w:t>
      </w:r>
      <w:r w:rsidRPr="001F00AB">
        <w:rPr>
          <w:rFonts w:asciiTheme="minorHAnsi" w:eastAsia="Arial Unicode MS" w:hAnsiTheme="minorHAnsi" w:cstheme="minorHAnsi"/>
          <w:lang w:eastAsia="en-GB"/>
        </w:rPr>
        <w:t xml:space="preserve">if </w:t>
      </w:r>
      <w:r>
        <w:rPr>
          <w:rFonts w:asciiTheme="minorHAnsi" w:eastAsia="Arial Unicode MS" w:hAnsiTheme="minorHAnsi" w:cstheme="minorHAnsi"/>
          <w:lang w:eastAsia="en-GB"/>
        </w:rPr>
        <w:t>it</w:t>
      </w:r>
      <w:r w:rsidRPr="001F00AB">
        <w:rPr>
          <w:rFonts w:asciiTheme="minorHAnsi" w:eastAsia="Arial Unicode MS" w:hAnsiTheme="minorHAnsi" w:cstheme="minorHAnsi"/>
          <w:lang w:eastAsia="en-GB"/>
        </w:rPr>
        <w:t xml:space="preserve"> serve</w:t>
      </w:r>
      <w:r>
        <w:rPr>
          <w:rFonts w:asciiTheme="minorHAnsi" w:eastAsia="Arial Unicode MS" w:hAnsiTheme="minorHAnsi" w:cstheme="minorHAnsi"/>
          <w:lang w:eastAsia="en-GB"/>
        </w:rPr>
        <w:t>s</w:t>
      </w:r>
      <w:r w:rsidRPr="001F00AB">
        <w:rPr>
          <w:rFonts w:asciiTheme="minorHAnsi" w:eastAsia="Arial Unicode MS" w:hAnsiTheme="minorHAnsi" w:cstheme="minorHAnsi"/>
          <w:lang w:eastAsia="en-GB"/>
        </w:rPr>
        <w:t xml:space="preserve"> to facilitate the goals of the researcher/research.</w:t>
      </w:r>
    </w:p>
    <w:p w14:paraId="1A1EDADD" w14:textId="77777777" w:rsidR="00457B6E" w:rsidRDefault="00457B6E" w:rsidP="00457B6E">
      <w:pPr>
        <w:spacing w:after="0"/>
        <w:jc w:val="both"/>
        <w:rPr>
          <w:rFonts w:asciiTheme="minorHAnsi" w:eastAsia="Arial Unicode MS" w:hAnsiTheme="minorHAnsi" w:cstheme="minorHAnsi"/>
          <w:lang w:eastAsia="en-GB"/>
        </w:rPr>
      </w:pPr>
    </w:p>
    <w:p w14:paraId="2CBF1AEA" w14:textId="58424EC0" w:rsidR="00457B6E" w:rsidRDefault="00457B6E" w:rsidP="00457B6E">
      <w:pPr>
        <w:spacing w:after="0"/>
        <w:jc w:val="both"/>
        <w:rPr>
          <w:rFonts w:asciiTheme="minorHAnsi" w:eastAsia="Arial Unicode MS" w:hAnsiTheme="minorHAnsi" w:cstheme="minorHAnsi"/>
          <w:lang w:eastAsia="en-GB"/>
        </w:rPr>
      </w:pPr>
      <w:r>
        <w:rPr>
          <w:rFonts w:asciiTheme="minorHAnsi" w:eastAsia="Arial Unicode MS" w:hAnsiTheme="minorHAnsi" w:cstheme="minorHAnsi"/>
          <w:lang w:eastAsia="en-GB"/>
        </w:rPr>
        <w:t xml:space="preserve">A budget reallocation requires a written request and approval from the </w:t>
      </w:r>
      <w:r w:rsidR="00ED6C4B">
        <w:rPr>
          <w:rFonts w:asciiTheme="minorHAnsi" w:eastAsia="Arial Unicode MS" w:hAnsiTheme="minorHAnsi" w:cstheme="minorHAnsi"/>
          <w:lang w:eastAsia="en-GB"/>
        </w:rPr>
        <w:t xml:space="preserve">IRC </w:t>
      </w:r>
      <w:r>
        <w:rPr>
          <w:rFonts w:asciiTheme="minorHAnsi" w:eastAsia="Arial Unicode MS" w:hAnsiTheme="minorHAnsi" w:cstheme="minorHAnsi"/>
          <w:lang w:eastAsia="en-GB"/>
        </w:rPr>
        <w:t>in the following cases:</w:t>
      </w:r>
    </w:p>
    <w:p w14:paraId="3A78598D" w14:textId="77777777" w:rsidR="00457B6E" w:rsidRDefault="00457B6E" w:rsidP="00457B6E">
      <w:pPr>
        <w:spacing w:after="0"/>
        <w:jc w:val="both"/>
        <w:rPr>
          <w:rFonts w:asciiTheme="minorHAnsi" w:eastAsia="Arial Unicode MS" w:hAnsiTheme="minorHAnsi" w:cstheme="minorHAnsi"/>
          <w:lang w:eastAsia="en-GB"/>
        </w:rPr>
      </w:pPr>
    </w:p>
    <w:p w14:paraId="36104832" w14:textId="77777777" w:rsidR="00457B6E" w:rsidRDefault="00457B6E" w:rsidP="00457B6E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eastAsia="Arial Unicode MS" w:hAnsiTheme="minorHAnsi" w:cstheme="minorHAnsi"/>
          <w:lang w:eastAsia="en-GB"/>
        </w:rPr>
      </w:pPr>
      <w:r>
        <w:rPr>
          <w:rFonts w:asciiTheme="minorHAnsi" w:eastAsia="Arial Unicode MS" w:hAnsiTheme="minorHAnsi" w:cstheme="minorHAnsi"/>
          <w:lang w:eastAsia="en-GB"/>
        </w:rPr>
        <w:t xml:space="preserve">Significant budget reallocation </w:t>
      </w:r>
      <w:r w:rsidRPr="00951187">
        <w:rPr>
          <w:rFonts w:asciiTheme="minorHAnsi" w:eastAsia="Arial Unicode MS" w:hAnsiTheme="minorHAnsi" w:cstheme="minorHAnsi"/>
          <w:lang w:eastAsia="en-GB"/>
        </w:rPr>
        <w:t>to or from any category</w:t>
      </w:r>
      <w:r>
        <w:rPr>
          <w:rFonts w:asciiTheme="minorHAnsi" w:eastAsia="Arial Unicode MS" w:hAnsiTheme="minorHAnsi" w:cstheme="minorHAnsi"/>
          <w:lang w:eastAsia="en-GB"/>
        </w:rPr>
        <w:t>:</w:t>
      </w:r>
    </w:p>
    <w:p w14:paraId="29AE7511" w14:textId="57E00B82" w:rsidR="00457B6E" w:rsidRPr="001B0443" w:rsidRDefault="00457B6E" w:rsidP="001B0443">
      <w:pPr>
        <w:pStyle w:val="ListParagraph"/>
        <w:numPr>
          <w:ilvl w:val="1"/>
          <w:numId w:val="2"/>
        </w:numPr>
        <w:rPr>
          <w:rFonts w:asciiTheme="minorHAnsi" w:eastAsia="Arial Unicode MS" w:hAnsiTheme="minorHAnsi" w:cstheme="minorHAnsi"/>
          <w:lang w:eastAsia="en-GB"/>
        </w:rPr>
      </w:pPr>
      <w:r w:rsidRPr="001B0443">
        <w:rPr>
          <w:rFonts w:asciiTheme="minorHAnsi" w:eastAsia="Arial Unicode MS" w:hAnsiTheme="minorHAnsi" w:cstheme="minorHAnsi"/>
          <w:b/>
          <w:lang w:eastAsia="en-GB"/>
        </w:rPr>
        <w:t>For postgraduate and postdoctoral awards (if applicable) and for PI-led awards under €200,000:</w:t>
      </w:r>
      <w:r w:rsidRPr="001B0443">
        <w:rPr>
          <w:rFonts w:asciiTheme="minorHAnsi" w:eastAsia="Arial Unicode MS" w:hAnsiTheme="minorHAnsi" w:cstheme="minorHAnsi"/>
          <w:lang w:eastAsia="en-GB"/>
        </w:rPr>
        <w:t xml:space="preserve"> individual or cumulative adjustments of 10% or more of the approved annual direct research costs. Minor re-allocations and adjustments that cumulatively do not exceed 10% do not require </w:t>
      </w:r>
      <w:r w:rsidR="00ED6C4B">
        <w:rPr>
          <w:rFonts w:asciiTheme="minorHAnsi" w:eastAsia="Arial Unicode MS" w:hAnsiTheme="minorHAnsi" w:cstheme="minorHAnsi"/>
          <w:lang w:eastAsia="en-GB"/>
        </w:rPr>
        <w:t>IRC</w:t>
      </w:r>
      <w:r w:rsidRPr="001B0443">
        <w:rPr>
          <w:rFonts w:asciiTheme="minorHAnsi" w:eastAsia="Arial Unicode MS" w:hAnsiTheme="minorHAnsi" w:cstheme="minorHAnsi"/>
          <w:lang w:eastAsia="en-GB"/>
        </w:rPr>
        <w:t xml:space="preserve"> approval and can be dealt with by liaising with the Research Office in the host Institution</w:t>
      </w:r>
      <w:r w:rsidR="001B0443" w:rsidRPr="001B0443">
        <w:rPr>
          <w:rFonts w:asciiTheme="minorHAnsi" w:eastAsia="Arial Unicode MS" w:hAnsiTheme="minorHAnsi" w:cstheme="minorHAnsi"/>
          <w:lang w:eastAsia="en-GB"/>
        </w:rPr>
        <w:t xml:space="preserve">, in respect </w:t>
      </w:r>
      <w:r w:rsidR="001B0443">
        <w:rPr>
          <w:rFonts w:asciiTheme="minorHAnsi" w:eastAsia="Arial Unicode MS" w:hAnsiTheme="minorHAnsi" w:cstheme="minorHAnsi"/>
          <w:lang w:eastAsia="en-GB"/>
        </w:rPr>
        <w:t>with</w:t>
      </w:r>
      <w:r w:rsidR="001B0443" w:rsidRPr="001B0443">
        <w:rPr>
          <w:rFonts w:asciiTheme="minorHAnsi" w:eastAsia="Arial Unicode MS" w:hAnsiTheme="minorHAnsi" w:cstheme="minorHAnsi"/>
          <w:lang w:eastAsia="en-GB"/>
        </w:rPr>
        <w:t xml:space="preserve"> eligible costs (including categories which have maximum limits) as set out in the Terms and Conditions of the respective schemes.</w:t>
      </w:r>
    </w:p>
    <w:p w14:paraId="24CDCAEB" w14:textId="64BBE13D" w:rsidR="00457B6E" w:rsidRPr="001B0443" w:rsidRDefault="00457B6E" w:rsidP="001B0443">
      <w:pPr>
        <w:pStyle w:val="ListParagraph"/>
        <w:numPr>
          <w:ilvl w:val="1"/>
          <w:numId w:val="2"/>
        </w:numPr>
        <w:rPr>
          <w:lang w:eastAsia="en-GB"/>
        </w:rPr>
      </w:pPr>
      <w:r w:rsidRPr="001B0443">
        <w:rPr>
          <w:b/>
          <w:lang w:eastAsia="en-GB"/>
        </w:rPr>
        <w:t>For PI-led awards over €200,000:</w:t>
      </w:r>
      <w:r>
        <w:rPr>
          <w:lang w:eastAsia="en-GB"/>
        </w:rPr>
        <w:t xml:space="preserve"> </w:t>
      </w:r>
      <w:r w:rsidRPr="00A17F3B">
        <w:rPr>
          <w:lang w:eastAsia="en-GB"/>
        </w:rPr>
        <w:t xml:space="preserve">individual or cumulative adjustments </w:t>
      </w:r>
      <w:proofErr w:type="gramStart"/>
      <w:r w:rsidRPr="00A17F3B">
        <w:rPr>
          <w:lang w:eastAsia="en-GB"/>
        </w:rPr>
        <w:t>in excess of</w:t>
      </w:r>
      <w:proofErr w:type="gramEnd"/>
      <w:r w:rsidRPr="00A17F3B">
        <w:rPr>
          <w:lang w:eastAsia="en-GB"/>
        </w:rPr>
        <w:t xml:space="preserve"> €20,000 to or from any category, or to or from any calendar year</w:t>
      </w:r>
      <w:r>
        <w:rPr>
          <w:lang w:eastAsia="en-GB"/>
        </w:rPr>
        <w:t xml:space="preserve">. </w:t>
      </w:r>
      <w:r w:rsidRPr="00A17F3B">
        <w:rPr>
          <w:lang w:eastAsia="en-GB"/>
        </w:rPr>
        <w:t xml:space="preserve">Minor re-allocations and adjustments </w:t>
      </w:r>
      <w:r>
        <w:rPr>
          <w:lang w:eastAsia="en-GB"/>
        </w:rPr>
        <w:t xml:space="preserve">that cumulatively do not exceed </w:t>
      </w:r>
      <w:r w:rsidRPr="00A17F3B">
        <w:rPr>
          <w:lang w:eastAsia="en-GB"/>
        </w:rPr>
        <w:t xml:space="preserve">€20,000 do not </w:t>
      </w:r>
      <w:r>
        <w:rPr>
          <w:lang w:eastAsia="en-GB"/>
        </w:rPr>
        <w:t>require</w:t>
      </w:r>
      <w:r w:rsidRPr="00A17F3B">
        <w:rPr>
          <w:lang w:eastAsia="en-GB"/>
        </w:rPr>
        <w:t xml:space="preserve"> </w:t>
      </w:r>
      <w:r w:rsidR="00ED6C4B">
        <w:rPr>
          <w:lang w:eastAsia="en-GB"/>
        </w:rPr>
        <w:t>IRC</w:t>
      </w:r>
      <w:r w:rsidRPr="00A17F3B">
        <w:rPr>
          <w:lang w:eastAsia="en-GB"/>
        </w:rPr>
        <w:t xml:space="preserve"> approval and can be dealt with by liaising with the </w:t>
      </w:r>
      <w:r>
        <w:rPr>
          <w:lang w:eastAsia="en-GB"/>
        </w:rPr>
        <w:t>R</w:t>
      </w:r>
      <w:r w:rsidRPr="00A17F3B">
        <w:rPr>
          <w:lang w:eastAsia="en-GB"/>
        </w:rPr>
        <w:t xml:space="preserve">esearch </w:t>
      </w:r>
      <w:r>
        <w:rPr>
          <w:lang w:eastAsia="en-GB"/>
        </w:rPr>
        <w:t>O</w:t>
      </w:r>
      <w:r w:rsidRPr="00A17F3B">
        <w:rPr>
          <w:lang w:eastAsia="en-GB"/>
        </w:rPr>
        <w:t>ffice in your Higher Education Institution</w:t>
      </w:r>
      <w:r w:rsidR="001B0443">
        <w:rPr>
          <w:lang w:eastAsia="en-GB"/>
        </w:rPr>
        <w:t xml:space="preserve">, </w:t>
      </w:r>
      <w:r w:rsidR="001B0443" w:rsidRPr="001B0443">
        <w:rPr>
          <w:lang w:eastAsia="en-GB"/>
        </w:rPr>
        <w:t xml:space="preserve">in respect </w:t>
      </w:r>
      <w:r w:rsidR="001B0443">
        <w:rPr>
          <w:lang w:eastAsia="en-GB"/>
        </w:rPr>
        <w:t>with</w:t>
      </w:r>
      <w:r w:rsidR="001B0443" w:rsidRPr="001B0443">
        <w:rPr>
          <w:lang w:eastAsia="en-GB"/>
        </w:rPr>
        <w:t xml:space="preserve"> eligible costs (including categories which have maximum limits) as set out in the Terms and Conditions of the respective schemes.</w:t>
      </w:r>
    </w:p>
    <w:p w14:paraId="05EE66A0" w14:textId="1FE1A3B6" w:rsidR="00457B6E" w:rsidRPr="00462B55" w:rsidRDefault="00457B6E" w:rsidP="00457B6E">
      <w:pPr>
        <w:pStyle w:val="ListParagraph"/>
        <w:numPr>
          <w:ilvl w:val="1"/>
          <w:numId w:val="2"/>
        </w:numPr>
        <w:spacing w:after="0"/>
        <w:jc w:val="both"/>
        <w:rPr>
          <w:rFonts w:asciiTheme="minorHAnsi" w:eastAsia="Arial Unicode MS" w:hAnsiTheme="minorHAnsi" w:cstheme="minorHAnsi"/>
          <w:lang w:eastAsia="en-GB"/>
        </w:rPr>
      </w:pPr>
      <w:r w:rsidRPr="00462B55">
        <w:rPr>
          <w:b/>
          <w:lang w:eastAsia="en-GB"/>
        </w:rPr>
        <w:t>For awards of €5000 or less:</w:t>
      </w:r>
      <w:r w:rsidRPr="00462B55">
        <w:rPr>
          <w:rFonts w:asciiTheme="minorHAnsi" w:eastAsia="Arial Unicode MS" w:hAnsiTheme="minorHAnsi" w:cstheme="minorHAnsi"/>
          <w:lang w:eastAsia="en-GB"/>
        </w:rPr>
        <w:t xml:space="preserve"> the </w:t>
      </w:r>
      <w:r w:rsidR="00ED6C4B">
        <w:rPr>
          <w:rFonts w:asciiTheme="minorHAnsi" w:eastAsia="Arial Unicode MS" w:hAnsiTheme="minorHAnsi" w:cstheme="minorHAnsi"/>
          <w:lang w:eastAsia="en-GB"/>
        </w:rPr>
        <w:t>IRC</w:t>
      </w:r>
      <w:r w:rsidRPr="00462B55">
        <w:rPr>
          <w:rFonts w:asciiTheme="minorHAnsi" w:eastAsia="Arial Unicode MS" w:hAnsiTheme="minorHAnsi" w:cstheme="minorHAnsi"/>
          <w:lang w:eastAsia="en-GB"/>
        </w:rPr>
        <w:t xml:space="preserve"> does not need to be contacted and budget reallocations can be dealt with by liaising with the Research Office in the host institution, though award holders must </w:t>
      </w:r>
      <w:r>
        <w:rPr>
          <w:rFonts w:asciiTheme="minorHAnsi" w:eastAsia="Arial Unicode MS" w:hAnsiTheme="minorHAnsi" w:cstheme="minorHAnsi"/>
          <w:lang w:eastAsia="en-GB"/>
        </w:rPr>
        <w:t xml:space="preserve">adhere to </w:t>
      </w:r>
      <w:r w:rsidRPr="00462B55">
        <w:rPr>
          <w:rFonts w:asciiTheme="minorHAnsi" w:eastAsia="Arial Unicode MS" w:hAnsiTheme="minorHAnsi" w:cstheme="minorHAnsi"/>
          <w:lang w:eastAsia="en-GB"/>
        </w:rPr>
        <w:t>the Terms and Conditions surrounding expenditure on the relevant scheme, as well as to the HEI procurement policies.</w:t>
      </w:r>
    </w:p>
    <w:p w14:paraId="25E3C605" w14:textId="77777777" w:rsidR="00457B6E" w:rsidRDefault="00457B6E" w:rsidP="00457B6E">
      <w:pPr>
        <w:pStyle w:val="ListParagraph"/>
        <w:jc w:val="both"/>
        <w:rPr>
          <w:lang w:eastAsia="en-GB"/>
        </w:rPr>
      </w:pPr>
    </w:p>
    <w:p w14:paraId="11450998" w14:textId="0855BD6B" w:rsidR="00457B6E" w:rsidRDefault="00457B6E" w:rsidP="001B0443">
      <w:pPr>
        <w:pStyle w:val="ListParagraph"/>
        <w:numPr>
          <w:ilvl w:val="0"/>
          <w:numId w:val="2"/>
        </w:numPr>
        <w:jc w:val="both"/>
        <w:rPr>
          <w:lang w:eastAsia="en-GB"/>
        </w:rPr>
      </w:pPr>
      <w:r w:rsidRPr="00462B55">
        <w:rPr>
          <w:lang w:eastAsia="en-GB"/>
        </w:rPr>
        <w:t xml:space="preserve">Any reallocation of funds to or from salary and postgraduate registration fee categories, excluding pay increments. </w:t>
      </w:r>
    </w:p>
    <w:p w14:paraId="5C506066" w14:textId="77777777" w:rsidR="006F1875" w:rsidRPr="001B0443" w:rsidRDefault="006F1875" w:rsidP="006F1875">
      <w:pPr>
        <w:pStyle w:val="ListParagraph"/>
        <w:ind w:left="360"/>
        <w:jc w:val="both"/>
        <w:rPr>
          <w:lang w:eastAsia="en-GB"/>
        </w:rPr>
      </w:pPr>
    </w:p>
    <w:p w14:paraId="208DC1CB" w14:textId="77777777" w:rsidR="00457B6E" w:rsidRPr="00724891" w:rsidRDefault="00457B6E" w:rsidP="00457B6E">
      <w:pPr>
        <w:spacing w:after="0"/>
        <w:jc w:val="both"/>
        <w:rPr>
          <w:rFonts w:asciiTheme="minorHAnsi" w:eastAsia="Arial Unicode MS" w:hAnsiTheme="minorHAnsi" w:cstheme="minorHAnsi"/>
          <w:u w:val="single"/>
          <w:lang w:eastAsia="en-GB"/>
        </w:rPr>
      </w:pPr>
      <w:r>
        <w:rPr>
          <w:rFonts w:asciiTheme="minorHAnsi" w:eastAsia="Arial Unicode MS" w:hAnsiTheme="minorHAnsi" w:cstheme="minorHAnsi"/>
          <w:u w:val="single"/>
          <w:lang w:eastAsia="en-GB"/>
        </w:rPr>
        <w:t>C</w:t>
      </w:r>
      <w:r w:rsidRPr="00724891">
        <w:rPr>
          <w:rFonts w:asciiTheme="minorHAnsi" w:eastAsia="Arial Unicode MS" w:hAnsiTheme="minorHAnsi" w:cstheme="minorHAnsi"/>
          <w:u w:val="single"/>
          <w:lang w:eastAsia="en-GB"/>
        </w:rPr>
        <w:t xml:space="preserve">onditions </w:t>
      </w:r>
      <w:r>
        <w:rPr>
          <w:rFonts w:asciiTheme="minorHAnsi" w:eastAsia="Arial Unicode MS" w:hAnsiTheme="minorHAnsi" w:cstheme="minorHAnsi"/>
          <w:u w:val="single"/>
          <w:lang w:eastAsia="en-GB"/>
        </w:rPr>
        <w:t>for</w:t>
      </w:r>
      <w:r w:rsidRPr="00724891">
        <w:rPr>
          <w:rFonts w:asciiTheme="minorHAnsi" w:eastAsia="Arial Unicode MS" w:hAnsiTheme="minorHAnsi" w:cstheme="minorHAnsi"/>
          <w:u w:val="single"/>
          <w:lang w:eastAsia="en-GB"/>
        </w:rPr>
        <w:t xml:space="preserve"> </w:t>
      </w:r>
      <w:r>
        <w:rPr>
          <w:rFonts w:asciiTheme="minorHAnsi" w:eastAsia="Arial Unicode MS" w:hAnsiTheme="minorHAnsi" w:cstheme="minorHAnsi"/>
          <w:u w:val="single"/>
          <w:lang w:eastAsia="en-GB"/>
        </w:rPr>
        <w:t>budget reallocations to be granted</w:t>
      </w:r>
    </w:p>
    <w:p w14:paraId="79505DB6" w14:textId="77777777" w:rsidR="00457B6E" w:rsidRDefault="00457B6E" w:rsidP="00457B6E">
      <w:pPr>
        <w:pStyle w:val="ListParagraph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lang w:eastAsia="en-GB"/>
        </w:rPr>
      </w:pPr>
      <w:r w:rsidRPr="00951187">
        <w:rPr>
          <w:rFonts w:asciiTheme="minorHAnsi" w:eastAsia="Arial Unicode MS" w:hAnsiTheme="minorHAnsi" w:cstheme="minorHAnsi"/>
          <w:lang w:eastAsia="en-GB"/>
        </w:rPr>
        <w:t>Any budget reallocation request must be clearly justified in the context of the research objectives of the funded research</w:t>
      </w:r>
      <w:r>
        <w:rPr>
          <w:rFonts w:asciiTheme="minorHAnsi" w:eastAsia="Arial Unicode MS" w:hAnsiTheme="minorHAnsi" w:cstheme="minorHAnsi"/>
          <w:lang w:eastAsia="en-GB"/>
        </w:rPr>
        <w:t>.</w:t>
      </w:r>
      <w:r w:rsidRPr="00951187">
        <w:rPr>
          <w:rFonts w:asciiTheme="minorHAnsi" w:eastAsia="Arial Unicode MS" w:hAnsiTheme="minorHAnsi" w:cstheme="minorHAnsi"/>
          <w:lang w:eastAsia="en-GB"/>
        </w:rPr>
        <w:t xml:space="preserve"> </w:t>
      </w:r>
    </w:p>
    <w:p w14:paraId="1B280E93" w14:textId="77777777" w:rsidR="00457B6E" w:rsidRDefault="00457B6E" w:rsidP="00457B6E">
      <w:pPr>
        <w:pStyle w:val="ListParagraph"/>
        <w:ind w:left="360"/>
        <w:jc w:val="both"/>
        <w:rPr>
          <w:rFonts w:asciiTheme="minorHAnsi" w:eastAsia="Arial Unicode MS" w:hAnsiTheme="minorHAnsi" w:cstheme="minorHAnsi"/>
          <w:lang w:eastAsia="en-GB"/>
        </w:rPr>
      </w:pPr>
    </w:p>
    <w:p w14:paraId="6AC3CFD4" w14:textId="77777777" w:rsidR="00457B6E" w:rsidRPr="00462B55" w:rsidRDefault="00457B6E" w:rsidP="00457B6E">
      <w:pPr>
        <w:pStyle w:val="ListParagraph"/>
        <w:numPr>
          <w:ilvl w:val="0"/>
          <w:numId w:val="4"/>
        </w:numPr>
        <w:spacing w:after="0"/>
        <w:jc w:val="both"/>
        <w:rPr>
          <w:rFonts w:asciiTheme="minorHAnsi" w:eastAsia="Arial Unicode MS" w:hAnsiTheme="minorHAnsi" w:cstheme="minorHAnsi"/>
          <w:lang w:eastAsia="en-GB"/>
        </w:rPr>
      </w:pPr>
      <w:r w:rsidRPr="00462B55">
        <w:t xml:space="preserve">A request for a budget reallocation must be made by the award holder on the appropriate form </w:t>
      </w:r>
      <w:r w:rsidRPr="00462B55">
        <w:rPr>
          <w:b/>
          <w:bCs/>
        </w:rPr>
        <w:t>no less than 2 months</w:t>
      </w:r>
      <w:r w:rsidRPr="00462B55">
        <w:t xml:space="preserve"> before the original End Date of the award and should always be made prior to committing or incurring expenditure in excess of that allowed in the Letter of Offer.</w:t>
      </w:r>
    </w:p>
    <w:p w14:paraId="7508DB38" w14:textId="77777777" w:rsidR="00457B6E" w:rsidRPr="00852C0D" w:rsidRDefault="00457B6E" w:rsidP="00457B6E">
      <w:pPr>
        <w:spacing w:after="0"/>
        <w:jc w:val="both"/>
        <w:rPr>
          <w:rFonts w:asciiTheme="minorHAnsi" w:eastAsia="Arial Unicode MS" w:hAnsiTheme="minorHAnsi" w:cstheme="minorHAnsi"/>
          <w:lang w:eastAsia="en-GB"/>
        </w:rPr>
      </w:pPr>
    </w:p>
    <w:p w14:paraId="5DFCF2C6" w14:textId="5CD4D39A" w:rsidR="00457B6E" w:rsidRPr="00457B6E" w:rsidRDefault="00457B6E" w:rsidP="00457B6E">
      <w:pPr>
        <w:pStyle w:val="ListParagraph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lang w:eastAsia="en-GB"/>
        </w:rPr>
      </w:pPr>
      <w:r w:rsidRPr="00852C0D">
        <w:rPr>
          <w:rFonts w:asciiTheme="minorHAnsi" w:eastAsia="Arial Unicode MS" w:hAnsiTheme="minorHAnsi" w:cstheme="minorHAnsi"/>
          <w:lang w:eastAsia="en-GB"/>
        </w:rPr>
        <w:lastRenderedPageBreak/>
        <w:t xml:space="preserve">It must not exceed the budget approved in the original Letter of Offer or extend past the approved expiry date of the award (for that option see the No-Cost Extension policy). </w:t>
      </w:r>
    </w:p>
    <w:p w14:paraId="298E9528" w14:textId="77777777" w:rsidR="00457B6E" w:rsidRPr="00457B6E" w:rsidRDefault="00457B6E" w:rsidP="00457B6E">
      <w:pPr>
        <w:pStyle w:val="ListParagraph"/>
        <w:ind w:left="360"/>
        <w:jc w:val="both"/>
        <w:rPr>
          <w:rFonts w:asciiTheme="minorHAnsi" w:eastAsia="Arial Unicode MS" w:hAnsiTheme="minorHAnsi" w:cstheme="minorHAnsi"/>
          <w:lang w:eastAsia="en-GB"/>
        </w:rPr>
      </w:pPr>
    </w:p>
    <w:p w14:paraId="5B13762B" w14:textId="77777777" w:rsidR="00457B6E" w:rsidRPr="00852C0D" w:rsidRDefault="00457B6E" w:rsidP="00457B6E">
      <w:pPr>
        <w:pStyle w:val="ListParagraph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lang w:eastAsia="en-GB"/>
        </w:rPr>
      </w:pPr>
      <w:r w:rsidRPr="00852C0D">
        <w:rPr>
          <w:rFonts w:asciiTheme="minorHAnsi" w:eastAsia="Arial Unicode MS" w:hAnsiTheme="minorHAnsi" w:cstheme="minorHAnsi"/>
          <w:lang w:eastAsia="en-GB"/>
        </w:rPr>
        <w:t xml:space="preserve">No transfer of funds is allowed between the indirect (overheads) and direct cost categories of an award under any circumstances.  </w:t>
      </w:r>
    </w:p>
    <w:p w14:paraId="14A93274" w14:textId="77777777" w:rsidR="00457B6E" w:rsidRPr="00E57EDF" w:rsidRDefault="00457B6E" w:rsidP="00457B6E">
      <w:pPr>
        <w:pStyle w:val="ListParagraph"/>
        <w:jc w:val="both"/>
        <w:rPr>
          <w:rFonts w:asciiTheme="minorHAnsi" w:eastAsia="Arial Unicode MS" w:hAnsiTheme="minorHAnsi" w:cstheme="minorHAnsi"/>
          <w:lang w:eastAsia="en-GB"/>
        </w:rPr>
      </w:pPr>
    </w:p>
    <w:p w14:paraId="25E6D33D" w14:textId="128F218B" w:rsidR="00457B6E" w:rsidRPr="006F1875" w:rsidRDefault="00457B6E" w:rsidP="00457B6E">
      <w:pPr>
        <w:pStyle w:val="ListParagraph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/>
          <w:bCs/>
          <w:lang w:eastAsia="en-GB"/>
        </w:rPr>
      </w:pPr>
      <w:r w:rsidRPr="00E57EDF">
        <w:rPr>
          <w:rFonts w:asciiTheme="minorHAnsi" w:eastAsia="Arial Unicode MS" w:hAnsiTheme="minorHAnsi" w:cstheme="minorHAnsi"/>
          <w:lang w:eastAsia="en-GB"/>
        </w:rPr>
        <w:t>Please note that not all schemes</w:t>
      </w:r>
      <w:r>
        <w:rPr>
          <w:rFonts w:asciiTheme="minorHAnsi" w:eastAsia="Arial Unicode MS" w:hAnsiTheme="minorHAnsi" w:cstheme="minorHAnsi"/>
          <w:lang w:eastAsia="en-GB"/>
        </w:rPr>
        <w:t xml:space="preserve"> allow for Budget Reallocations</w:t>
      </w:r>
      <w:r w:rsidRPr="00E57EDF">
        <w:rPr>
          <w:rFonts w:asciiTheme="minorHAnsi" w:eastAsia="Arial Unicode MS" w:hAnsiTheme="minorHAnsi" w:cstheme="minorHAnsi"/>
          <w:lang w:eastAsia="en-GB"/>
        </w:rPr>
        <w:t>. Terms and Conditions and grant agreements should be consulted in the first instance</w:t>
      </w:r>
      <w:r>
        <w:rPr>
          <w:rFonts w:asciiTheme="minorHAnsi" w:eastAsia="Arial Unicode MS" w:hAnsiTheme="minorHAnsi" w:cstheme="minorHAnsi"/>
          <w:lang w:eastAsia="en-GB"/>
        </w:rPr>
        <w:t xml:space="preserve">, as they may be prescriptive in some cases. </w:t>
      </w:r>
      <w:r w:rsidRPr="006F1875">
        <w:rPr>
          <w:rFonts w:asciiTheme="minorHAnsi" w:eastAsia="Arial Unicode MS" w:hAnsiTheme="minorHAnsi" w:cstheme="minorHAnsi"/>
          <w:b/>
          <w:bCs/>
          <w:lang w:eastAsia="en-GB"/>
        </w:rPr>
        <w:t xml:space="preserve">Where a contradiction exists between the present policy and Terms and Conditions, the Terms and Conditions take precedence. </w:t>
      </w:r>
    </w:p>
    <w:p w14:paraId="180687F9" w14:textId="77777777" w:rsidR="006F1875" w:rsidRPr="00457B6E" w:rsidRDefault="006F1875" w:rsidP="006F1875">
      <w:pPr>
        <w:pStyle w:val="ListParagraph"/>
        <w:ind w:left="360"/>
        <w:jc w:val="both"/>
        <w:rPr>
          <w:rFonts w:asciiTheme="minorHAnsi" w:eastAsia="Arial Unicode MS" w:hAnsiTheme="minorHAnsi" w:cstheme="minorHAnsi"/>
          <w:lang w:eastAsia="en-GB"/>
        </w:rPr>
      </w:pPr>
    </w:p>
    <w:p w14:paraId="23429651" w14:textId="77777777" w:rsidR="00457B6E" w:rsidRPr="00304FD2" w:rsidRDefault="00457B6E" w:rsidP="00457B6E">
      <w:pPr>
        <w:spacing w:after="0" w:line="240" w:lineRule="auto"/>
        <w:jc w:val="both"/>
        <w:rPr>
          <w:rFonts w:asciiTheme="minorHAnsi" w:eastAsia="Arial Unicode MS" w:hAnsiTheme="minorHAnsi" w:cstheme="minorHAnsi"/>
          <w:u w:val="single"/>
          <w:lang w:eastAsia="en-GB"/>
        </w:rPr>
      </w:pPr>
      <w:r w:rsidRPr="00304FD2">
        <w:rPr>
          <w:rFonts w:asciiTheme="minorHAnsi" w:eastAsia="Arial Unicode MS" w:hAnsiTheme="minorHAnsi" w:cstheme="minorHAnsi"/>
          <w:u w:val="single"/>
          <w:lang w:eastAsia="en-GB"/>
        </w:rPr>
        <w:t>Requesting a budget reallocation</w:t>
      </w:r>
    </w:p>
    <w:p w14:paraId="4C8D5C05" w14:textId="4D9B10F5" w:rsidR="00457B6E" w:rsidRDefault="00457B6E" w:rsidP="00457B6E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lang w:eastAsia="en-GB"/>
        </w:rPr>
      </w:pPr>
      <w:r w:rsidRPr="00080F71">
        <w:rPr>
          <w:rFonts w:asciiTheme="minorHAnsi" w:eastAsia="Arial Unicode MS" w:hAnsiTheme="minorHAnsi" w:cstheme="minorHAnsi"/>
          <w:lang w:eastAsia="en-GB"/>
        </w:rPr>
        <w:t xml:space="preserve">The award holder must complete </w:t>
      </w:r>
      <w:r w:rsidRPr="006F1875">
        <w:rPr>
          <w:rFonts w:asciiTheme="minorHAnsi" w:eastAsia="Arial Unicode MS" w:hAnsiTheme="minorHAnsi" w:cstheme="minorHAnsi"/>
          <w:b/>
          <w:bCs/>
          <w:lang w:eastAsia="en-GB"/>
        </w:rPr>
        <w:t>the Budget Reallocation request form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 in advance of any re-allocation, including:</w:t>
      </w:r>
    </w:p>
    <w:p w14:paraId="6610074D" w14:textId="77777777" w:rsidR="00457B6E" w:rsidRDefault="00457B6E" w:rsidP="00457B6E">
      <w:pPr>
        <w:pStyle w:val="ListParagraph"/>
        <w:numPr>
          <w:ilvl w:val="2"/>
          <w:numId w:val="3"/>
        </w:numPr>
        <w:jc w:val="both"/>
        <w:rPr>
          <w:rFonts w:asciiTheme="minorHAnsi" w:eastAsia="Arial Unicode MS" w:hAnsiTheme="minorHAnsi" w:cstheme="minorHAnsi"/>
          <w:lang w:eastAsia="en-GB"/>
        </w:rPr>
      </w:pPr>
      <w:r>
        <w:rPr>
          <w:rFonts w:asciiTheme="minorHAnsi" w:eastAsia="Arial Unicode MS" w:hAnsiTheme="minorHAnsi" w:cstheme="minorHAnsi"/>
          <w:lang w:eastAsia="en-GB"/>
        </w:rPr>
        <w:t xml:space="preserve">The rationale and justification for the budget reallocation </w:t>
      </w:r>
      <w:proofErr w:type="gramStart"/>
      <w:r>
        <w:rPr>
          <w:rFonts w:asciiTheme="minorHAnsi" w:eastAsia="Arial Unicode MS" w:hAnsiTheme="minorHAnsi" w:cstheme="minorHAnsi"/>
          <w:lang w:eastAsia="en-GB"/>
        </w:rPr>
        <w:t>requested;</w:t>
      </w:r>
      <w:proofErr w:type="gramEnd"/>
    </w:p>
    <w:p w14:paraId="0FF50CDC" w14:textId="77777777" w:rsidR="00457B6E" w:rsidRDefault="00457B6E" w:rsidP="00457B6E">
      <w:pPr>
        <w:pStyle w:val="ListParagraph"/>
        <w:numPr>
          <w:ilvl w:val="2"/>
          <w:numId w:val="3"/>
        </w:numPr>
        <w:jc w:val="both"/>
        <w:rPr>
          <w:rFonts w:asciiTheme="minorHAnsi" w:eastAsia="Arial Unicode MS" w:hAnsiTheme="minorHAnsi" w:cstheme="minorHAnsi"/>
          <w:lang w:eastAsia="en-GB"/>
        </w:rPr>
      </w:pPr>
      <w:r>
        <w:rPr>
          <w:rFonts w:asciiTheme="minorHAnsi" w:eastAsia="Arial Unicode MS" w:hAnsiTheme="minorHAnsi" w:cstheme="minorHAnsi"/>
          <w:lang w:eastAsia="en-GB"/>
        </w:rPr>
        <w:t>A</w:t>
      </w:r>
      <w:r w:rsidRPr="00D27686">
        <w:rPr>
          <w:rFonts w:asciiTheme="minorHAnsi" w:eastAsia="Arial Unicode MS" w:hAnsiTheme="minorHAnsi" w:cstheme="minorHAnsi"/>
          <w:lang w:eastAsia="en-GB"/>
        </w:rPr>
        <w:t xml:space="preserve"> current financial statement for </w:t>
      </w:r>
      <w:r>
        <w:rPr>
          <w:rFonts w:asciiTheme="minorHAnsi" w:eastAsia="Arial Unicode MS" w:hAnsiTheme="minorHAnsi" w:cstheme="minorHAnsi"/>
          <w:lang w:eastAsia="en-GB"/>
        </w:rPr>
        <w:t>the</w:t>
      </w:r>
      <w:r w:rsidRPr="00D27686">
        <w:rPr>
          <w:rFonts w:asciiTheme="minorHAnsi" w:eastAsia="Arial Unicode MS" w:hAnsiTheme="minorHAnsi" w:cstheme="minorHAnsi"/>
          <w:lang w:eastAsia="en-GB"/>
        </w:rPr>
        <w:t xml:space="preserve"> </w:t>
      </w:r>
      <w:proofErr w:type="gramStart"/>
      <w:r w:rsidRPr="00D27686">
        <w:rPr>
          <w:rFonts w:asciiTheme="minorHAnsi" w:eastAsia="Arial Unicode MS" w:hAnsiTheme="minorHAnsi" w:cstheme="minorHAnsi"/>
          <w:lang w:eastAsia="en-GB"/>
        </w:rPr>
        <w:t>grant</w:t>
      </w:r>
      <w:r>
        <w:rPr>
          <w:rFonts w:asciiTheme="minorHAnsi" w:eastAsia="Arial Unicode MS" w:hAnsiTheme="minorHAnsi" w:cstheme="minorHAnsi"/>
          <w:lang w:eastAsia="en-GB"/>
        </w:rPr>
        <w:t>;</w:t>
      </w:r>
      <w:proofErr w:type="gramEnd"/>
    </w:p>
    <w:p w14:paraId="46FB1F60" w14:textId="77777777" w:rsidR="00457B6E" w:rsidRDefault="00457B6E" w:rsidP="00457B6E">
      <w:pPr>
        <w:pStyle w:val="ListParagraph"/>
        <w:numPr>
          <w:ilvl w:val="2"/>
          <w:numId w:val="3"/>
        </w:numPr>
        <w:jc w:val="both"/>
        <w:rPr>
          <w:rFonts w:asciiTheme="minorHAnsi" w:eastAsia="Arial Unicode MS" w:hAnsiTheme="minorHAnsi" w:cstheme="minorHAnsi"/>
          <w:lang w:eastAsia="en-GB"/>
        </w:rPr>
      </w:pPr>
      <w:r>
        <w:rPr>
          <w:rFonts w:asciiTheme="minorHAnsi" w:eastAsia="Arial Unicode MS" w:hAnsiTheme="minorHAnsi" w:cstheme="minorHAnsi"/>
          <w:lang w:eastAsia="en-GB"/>
        </w:rPr>
        <w:t xml:space="preserve">A revised budget incorporating the reallocation(s). </w:t>
      </w:r>
    </w:p>
    <w:p w14:paraId="2AEF7C58" w14:textId="77777777" w:rsidR="00457B6E" w:rsidRPr="00E57EDF" w:rsidRDefault="00457B6E" w:rsidP="00457B6E">
      <w:pPr>
        <w:pStyle w:val="ListParagraph"/>
        <w:ind w:left="1800"/>
        <w:jc w:val="both"/>
        <w:rPr>
          <w:rFonts w:asciiTheme="minorHAnsi" w:eastAsia="Arial Unicode MS" w:hAnsiTheme="minorHAnsi" w:cstheme="minorHAnsi"/>
          <w:lang w:eastAsia="en-GB"/>
        </w:rPr>
      </w:pPr>
    </w:p>
    <w:p w14:paraId="408206F9" w14:textId="32A7562B" w:rsidR="00457B6E" w:rsidRDefault="00457B6E" w:rsidP="00457B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Arial Unicode MS" w:hAnsiTheme="minorHAnsi" w:cstheme="minorHAnsi"/>
          <w:lang w:eastAsia="en-GB"/>
        </w:rPr>
      </w:pPr>
      <w:r w:rsidRPr="00080F71">
        <w:rPr>
          <w:rFonts w:asciiTheme="minorHAnsi" w:eastAsia="Arial Unicode MS" w:hAnsiTheme="minorHAnsi" w:cstheme="minorHAnsi"/>
          <w:lang w:eastAsia="en-GB"/>
        </w:rPr>
        <w:t xml:space="preserve">The </w:t>
      </w:r>
      <w:r>
        <w:rPr>
          <w:rFonts w:asciiTheme="minorHAnsi" w:eastAsia="Arial Unicode MS" w:hAnsiTheme="minorHAnsi" w:cstheme="minorHAnsi"/>
          <w:lang w:eastAsia="en-GB"/>
        </w:rPr>
        <w:t xml:space="preserve">form must be signed 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by </w:t>
      </w:r>
      <w:r w:rsidR="001C0248">
        <w:rPr>
          <w:rFonts w:asciiTheme="minorHAnsi" w:eastAsia="Arial Unicode MS" w:hAnsiTheme="minorHAnsi" w:cstheme="minorHAnsi"/>
          <w:lang w:eastAsia="en-GB"/>
        </w:rPr>
        <w:t xml:space="preserve">both </w:t>
      </w:r>
      <w:r>
        <w:rPr>
          <w:rFonts w:asciiTheme="minorHAnsi" w:eastAsia="Arial Unicode MS" w:hAnsiTheme="minorHAnsi" w:cstheme="minorHAnsi"/>
          <w:lang w:eastAsia="en-GB"/>
        </w:rPr>
        <w:t>the</w:t>
      </w:r>
      <w:r w:rsidR="001C0248">
        <w:rPr>
          <w:rFonts w:asciiTheme="minorHAnsi" w:eastAsia="Arial Unicode MS" w:hAnsiTheme="minorHAnsi" w:cstheme="minorHAnsi"/>
          <w:lang w:eastAsia="en-GB"/>
        </w:rPr>
        <w:t xml:space="preserve"> </w:t>
      </w:r>
      <w:r>
        <w:rPr>
          <w:rFonts w:asciiTheme="minorHAnsi" w:eastAsia="Arial Unicode MS" w:hAnsiTheme="minorHAnsi" w:cstheme="minorHAnsi"/>
          <w:lang w:eastAsia="en-GB"/>
        </w:rPr>
        <w:t xml:space="preserve">Host Institution’s </w:t>
      </w:r>
      <w:r w:rsidRPr="00080F71">
        <w:rPr>
          <w:rFonts w:asciiTheme="minorHAnsi" w:eastAsia="Arial Unicode MS" w:hAnsiTheme="minorHAnsi" w:cstheme="minorHAnsi"/>
          <w:lang w:eastAsia="en-GB"/>
        </w:rPr>
        <w:t>Research</w:t>
      </w:r>
      <w:r w:rsidR="001C0248">
        <w:rPr>
          <w:rFonts w:asciiTheme="minorHAnsi" w:eastAsia="Arial Unicode MS" w:hAnsiTheme="minorHAnsi" w:cstheme="minorHAnsi"/>
          <w:lang w:eastAsia="en-GB"/>
        </w:rPr>
        <w:t xml:space="preserve"> Office and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 </w:t>
      </w:r>
      <w:r>
        <w:rPr>
          <w:rFonts w:asciiTheme="minorHAnsi" w:eastAsia="Arial Unicode MS" w:hAnsiTheme="minorHAnsi" w:cstheme="minorHAnsi"/>
          <w:lang w:eastAsia="en-GB"/>
        </w:rPr>
        <w:t>Finance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 Office</w:t>
      </w:r>
      <w:r>
        <w:rPr>
          <w:rFonts w:asciiTheme="minorHAnsi" w:eastAsia="Arial Unicode MS" w:hAnsiTheme="minorHAnsi" w:cstheme="minorHAnsi"/>
          <w:lang w:eastAsia="en-GB"/>
        </w:rPr>
        <w:t>. It should also be signed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 </w:t>
      </w:r>
      <w:bookmarkStart w:id="0" w:name="_Hlk29888449"/>
      <w:r w:rsidRPr="00080F71">
        <w:rPr>
          <w:rFonts w:asciiTheme="minorHAnsi" w:eastAsia="Arial Unicode MS" w:hAnsiTheme="minorHAnsi" w:cstheme="minorHAnsi"/>
          <w:lang w:eastAsia="en-GB"/>
        </w:rPr>
        <w:t xml:space="preserve">by </w:t>
      </w:r>
      <w:r>
        <w:rPr>
          <w:rFonts w:asciiTheme="minorHAnsi" w:eastAsia="Arial Unicode MS" w:hAnsiTheme="minorHAnsi" w:cstheme="minorHAnsi"/>
          <w:lang w:eastAsia="en-GB"/>
        </w:rPr>
        <w:t>the awardee’s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 </w:t>
      </w:r>
      <w:r>
        <w:rPr>
          <w:rFonts w:asciiTheme="minorHAnsi" w:eastAsia="Arial Unicode MS" w:hAnsiTheme="minorHAnsi" w:cstheme="minorHAnsi"/>
          <w:lang w:eastAsia="en-GB"/>
        </w:rPr>
        <w:t>Academic Supervisor/Mentor, Enterprise/Employment Mentor, and/or Strategic Funding Partner, as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 applicable.</w:t>
      </w:r>
      <w:bookmarkEnd w:id="0"/>
      <w:r>
        <w:rPr>
          <w:rFonts w:asciiTheme="minorHAnsi" w:eastAsia="Arial Unicode MS" w:hAnsiTheme="minorHAnsi" w:cstheme="minorHAnsi"/>
          <w:lang w:eastAsia="en-GB"/>
        </w:rPr>
        <w:t xml:space="preserve"> </w:t>
      </w:r>
    </w:p>
    <w:p w14:paraId="5752517A" w14:textId="77777777" w:rsidR="00457B6E" w:rsidRPr="00080F71" w:rsidRDefault="00457B6E" w:rsidP="00457B6E">
      <w:pPr>
        <w:pStyle w:val="ListParagraph"/>
        <w:jc w:val="both"/>
        <w:rPr>
          <w:rFonts w:asciiTheme="minorHAnsi" w:eastAsia="Arial Unicode MS" w:hAnsiTheme="minorHAnsi" w:cstheme="minorHAnsi"/>
          <w:lang w:eastAsia="en-GB"/>
        </w:rPr>
      </w:pPr>
    </w:p>
    <w:p w14:paraId="0C0C990E" w14:textId="62336941" w:rsidR="00457B6E" w:rsidRDefault="00457B6E" w:rsidP="00457B6E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lang w:eastAsia="en-GB"/>
        </w:rPr>
      </w:pPr>
      <w:r w:rsidRPr="00080F71">
        <w:rPr>
          <w:rFonts w:asciiTheme="minorHAnsi" w:eastAsia="Arial Unicode MS" w:hAnsiTheme="minorHAnsi" w:cstheme="minorHAnsi"/>
          <w:lang w:eastAsia="en-GB"/>
        </w:rPr>
        <w:t xml:space="preserve">The completed and signed form(s) must be returned to the relevant </w:t>
      </w:r>
      <w:r w:rsidR="00ED6C4B">
        <w:rPr>
          <w:rFonts w:asciiTheme="minorHAnsi" w:eastAsia="Arial Unicode MS" w:hAnsiTheme="minorHAnsi" w:cstheme="minorHAnsi"/>
          <w:lang w:eastAsia="en-GB"/>
        </w:rPr>
        <w:t>IRC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 </w:t>
      </w:r>
      <w:r>
        <w:rPr>
          <w:rFonts w:asciiTheme="minorHAnsi" w:eastAsia="Arial Unicode MS" w:hAnsiTheme="minorHAnsi" w:cstheme="minorHAnsi"/>
          <w:lang w:eastAsia="en-GB"/>
        </w:rPr>
        <w:t>P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rogramme </w:t>
      </w:r>
      <w:r>
        <w:rPr>
          <w:rFonts w:asciiTheme="minorHAnsi" w:eastAsia="Arial Unicode MS" w:hAnsiTheme="minorHAnsi" w:cstheme="minorHAnsi"/>
          <w:lang w:eastAsia="en-GB"/>
        </w:rPr>
        <w:t>M</w:t>
      </w:r>
      <w:r w:rsidRPr="00080F71">
        <w:rPr>
          <w:rFonts w:asciiTheme="minorHAnsi" w:eastAsia="Arial Unicode MS" w:hAnsiTheme="minorHAnsi" w:cstheme="minorHAnsi"/>
          <w:lang w:eastAsia="en-GB"/>
        </w:rPr>
        <w:t>anager/</w:t>
      </w:r>
      <w:r>
        <w:rPr>
          <w:rFonts w:asciiTheme="minorHAnsi" w:eastAsia="Arial Unicode MS" w:hAnsiTheme="minorHAnsi" w:cstheme="minorHAnsi"/>
          <w:lang w:eastAsia="en-GB"/>
        </w:rPr>
        <w:t>R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esearch </w:t>
      </w:r>
      <w:r>
        <w:rPr>
          <w:rFonts w:asciiTheme="minorHAnsi" w:eastAsia="Arial Unicode MS" w:hAnsiTheme="minorHAnsi" w:cstheme="minorHAnsi"/>
          <w:lang w:eastAsia="en-GB"/>
        </w:rPr>
        <w:t>S</w:t>
      </w:r>
      <w:r w:rsidRPr="00080F71">
        <w:rPr>
          <w:rFonts w:asciiTheme="minorHAnsi" w:eastAsia="Arial Unicode MS" w:hAnsiTheme="minorHAnsi" w:cstheme="minorHAnsi"/>
          <w:lang w:eastAsia="en-GB"/>
        </w:rPr>
        <w:t xml:space="preserve">upport </w:t>
      </w:r>
      <w:r>
        <w:rPr>
          <w:rFonts w:asciiTheme="minorHAnsi" w:eastAsia="Arial Unicode MS" w:hAnsiTheme="minorHAnsi" w:cstheme="minorHAnsi"/>
          <w:lang w:eastAsia="en-GB"/>
        </w:rPr>
        <w:t>O</w:t>
      </w:r>
      <w:r w:rsidRPr="00080F71">
        <w:rPr>
          <w:rFonts w:asciiTheme="minorHAnsi" w:eastAsia="Arial Unicode MS" w:hAnsiTheme="minorHAnsi" w:cstheme="minorHAnsi"/>
          <w:lang w:eastAsia="en-GB"/>
        </w:rPr>
        <w:t>fficer associated with the grant</w:t>
      </w:r>
      <w:r w:rsidR="001C0248">
        <w:rPr>
          <w:rFonts w:asciiTheme="minorHAnsi" w:eastAsia="Arial Unicode MS" w:hAnsiTheme="minorHAnsi" w:cstheme="minorHAnsi"/>
          <w:lang w:eastAsia="en-GB"/>
        </w:rPr>
        <w:t>, using the relevant Programme email address.</w:t>
      </w:r>
    </w:p>
    <w:p w14:paraId="5A58587E" w14:textId="77777777" w:rsidR="00457B6E" w:rsidRPr="00E57EDF" w:rsidRDefault="00457B6E" w:rsidP="00457B6E">
      <w:pPr>
        <w:pStyle w:val="ListParagraph"/>
        <w:jc w:val="both"/>
        <w:rPr>
          <w:rFonts w:asciiTheme="minorHAnsi" w:eastAsia="Arial Unicode MS" w:hAnsiTheme="minorHAnsi" w:cstheme="minorHAnsi"/>
          <w:lang w:eastAsia="en-GB"/>
        </w:rPr>
      </w:pPr>
    </w:p>
    <w:p w14:paraId="0A47D2A3" w14:textId="6485FB3D" w:rsidR="00457B6E" w:rsidRDefault="00457B6E" w:rsidP="00457B6E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lang w:eastAsia="en-GB"/>
        </w:rPr>
      </w:pPr>
      <w:r w:rsidRPr="00E57EDF">
        <w:rPr>
          <w:rFonts w:asciiTheme="minorHAnsi" w:eastAsia="Arial Unicode MS" w:hAnsiTheme="minorHAnsi" w:cstheme="minorHAnsi"/>
          <w:lang w:eastAsia="en-GB"/>
        </w:rPr>
        <w:t>Applications are assessed on a case</w:t>
      </w:r>
      <w:r>
        <w:rPr>
          <w:rFonts w:asciiTheme="minorHAnsi" w:eastAsia="Arial Unicode MS" w:hAnsiTheme="minorHAnsi" w:cstheme="minorHAnsi"/>
          <w:lang w:eastAsia="en-GB"/>
        </w:rPr>
        <w:t>-</w:t>
      </w:r>
      <w:r w:rsidRPr="00E57EDF">
        <w:rPr>
          <w:rFonts w:asciiTheme="minorHAnsi" w:eastAsia="Arial Unicode MS" w:hAnsiTheme="minorHAnsi" w:cstheme="minorHAnsi"/>
          <w:lang w:eastAsia="en-GB"/>
        </w:rPr>
        <w:t>by</w:t>
      </w:r>
      <w:r>
        <w:rPr>
          <w:rFonts w:asciiTheme="minorHAnsi" w:eastAsia="Arial Unicode MS" w:hAnsiTheme="minorHAnsi" w:cstheme="minorHAnsi"/>
          <w:lang w:eastAsia="en-GB"/>
        </w:rPr>
        <w:t>-</w:t>
      </w:r>
      <w:r w:rsidRPr="00E57EDF">
        <w:rPr>
          <w:rFonts w:asciiTheme="minorHAnsi" w:eastAsia="Arial Unicode MS" w:hAnsiTheme="minorHAnsi" w:cstheme="minorHAnsi"/>
          <w:lang w:eastAsia="en-GB"/>
        </w:rPr>
        <w:t xml:space="preserve">case basis by the </w:t>
      </w:r>
      <w:r w:rsidR="00ED6C4B">
        <w:rPr>
          <w:rFonts w:asciiTheme="minorHAnsi" w:eastAsia="Arial Unicode MS" w:hAnsiTheme="minorHAnsi" w:cstheme="minorHAnsi"/>
          <w:lang w:eastAsia="en-GB"/>
        </w:rPr>
        <w:t>IRC</w:t>
      </w:r>
      <w:r>
        <w:rPr>
          <w:rFonts w:asciiTheme="minorHAnsi" w:eastAsia="Arial Unicode MS" w:hAnsiTheme="minorHAnsi" w:cstheme="minorHAnsi"/>
          <w:lang w:eastAsia="en-GB"/>
        </w:rPr>
        <w:t xml:space="preserve"> Executive</w:t>
      </w:r>
      <w:r w:rsidRPr="00E57EDF">
        <w:rPr>
          <w:rFonts w:asciiTheme="minorHAnsi" w:eastAsia="Arial Unicode MS" w:hAnsiTheme="minorHAnsi" w:cstheme="minorHAnsi"/>
          <w:lang w:eastAsia="en-GB"/>
        </w:rPr>
        <w:t xml:space="preserve">. Once the request has been reviewed, the award holder and Host institution will be notified of the decision by email. Receipt of a request from the award holder does not in itself guarantee approval of a </w:t>
      </w:r>
      <w:r>
        <w:rPr>
          <w:rFonts w:asciiTheme="minorHAnsi" w:eastAsia="Arial Unicode MS" w:hAnsiTheme="minorHAnsi" w:cstheme="minorHAnsi"/>
          <w:lang w:eastAsia="en-GB"/>
        </w:rPr>
        <w:t>budget reallocation</w:t>
      </w:r>
      <w:r w:rsidRPr="00E57EDF">
        <w:rPr>
          <w:rFonts w:asciiTheme="minorHAnsi" w:eastAsia="Arial Unicode MS" w:hAnsiTheme="minorHAnsi" w:cstheme="minorHAnsi"/>
          <w:lang w:eastAsia="en-GB"/>
        </w:rPr>
        <w:t xml:space="preserve">. </w:t>
      </w:r>
    </w:p>
    <w:p w14:paraId="00686A2C" w14:textId="77777777" w:rsidR="00457B6E" w:rsidRPr="00E57EDF" w:rsidRDefault="00457B6E" w:rsidP="00457B6E">
      <w:pPr>
        <w:pStyle w:val="ListParagraph"/>
        <w:jc w:val="both"/>
        <w:rPr>
          <w:rFonts w:asciiTheme="minorHAnsi" w:eastAsia="Arial Unicode MS" w:hAnsiTheme="minorHAnsi" w:cstheme="minorHAnsi"/>
          <w:lang w:eastAsia="en-GB"/>
        </w:rPr>
      </w:pPr>
    </w:p>
    <w:p w14:paraId="40BDBAE1" w14:textId="6EF1740F" w:rsidR="00457B6E" w:rsidRPr="00E57EDF" w:rsidRDefault="00457B6E" w:rsidP="00457B6E">
      <w:pPr>
        <w:pStyle w:val="ListParagraph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  <w:lang w:eastAsia="en-GB"/>
        </w:rPr>
      </w:pPr>
      <w:r w:rsidRPr="00E57EDF">
        <w:rPr>
          <w:rFonts w:asciiTheme="minorHAnsi" w:eastAsia="Arial Unicode MS" w:hAnsiTheme="minorHAnsi" w:cstheme="minorHAnsi"/>
          <w:lang w:eastAsia="en-GB"/>
        </w:rPr>
        <w:t xml:space="preserve">Approved </w:t>
      </w:r>
      <w:r>
        <w:rPr>
          <w:rFonts w:asciiTheme="minorHAnsi" w:eastAsia="Arial Unicode MS" w:hAnsiTheme="minorHAnsi" w:cstheme="minorHAnsi"/>
          <w:lang w:eastAsia="en-GB"/>
        </w:rPr>
        <w:t>reallocations</w:t>
      </w:r>
      <w:r w:rsidRPr="00E57EDF">
        <w:rPr>
          <w:rFonts w:asciiTheme="minorHAnsi" w:eastAsia="Arial Unicode MS" w:hAnsiTheme="minorHAnsi" w:cstheme="minorHAnsi"/>
          <w:lang w:eastAsia="en-GB"/>
        </w:rPr>
        <w:t xml:space="preserve"> will be followed by the issue of </w:t>
      </w:r>
      <w:r w:rsidRPr="00852C0D">
        <w:rPr>
          <w:rFonts w:asciiTheme="minorHAnsi" w:eastAsia="Arial Unicode MS" w:hAnsiTheme="minorHAnsi" w:cstheme="minorHAnsi"/>
          <w:b/>
          <w:bCs/>
          <w:lang w:eastAsia="en-GB"/>
        </w:rPr>
        <w:t>a Letter of Variation</w:t>
      </w:r>
      <w:r w:rsidRPr="00E57EDF">
        <w:rPr>
          <w:rFonts w:asciiTheme="minorHAnsi" w:eastAsia="Arial Unicode MS" w:hAnsiTheme="minorHAnsi" w:cstheme="minorHAnsi"/>
          <w:lang w:eastAsia="en-GB"/>
        </w:rPr>
        <w:t xml:space="preserve"> to the Host Institution, outlining the change(s) to the original terms of the award and the new </w:t>
      </w:r>
      <w:r>
        <w:rPr>
          <w:rFonts w:asciiTheme="minorHAnsi" w:eastAsia="Arial Unicode MS" w:hAnsiTheme="minorHAnsi" w:cstheme="minorHAnsi"/>
          <w:lang w:eastAsia="en-GB"/>
        </w:rPr>
        <w:t>approved budget</w:t>
      </w:r>
      <w:r w:rsidRPr="00E57EDF">
        <w:rPr>
          <w:rFonts w:asciiTheme="minorHAnsi" w:eastAsia="Arial Unicode MS" w:hAnsiTheme="minorHAnsi" w:cstheme="minorHAnsi"/>
          <w:lang w:eastAsia="en-GB"/>
        </w:rPr>
        <w:t xml:space="preserve">. The process is deemed complete once the letter is signed by the Host Institution and returned to the </w:t>
      </w:r>
      <w:r w:rsidR="00ED6C4B">
        <w:rPr>
          <w:rFonts w:asciiTheme="minorHAnsi" w:eastAsia="Arial Unicode MS" w:hAnsiTheme="minorHAnsi" w:cstheme="minorHAnsi"/>
          <w:lang w:eastAsia="en-GB"/>
        </w:rPr>
        <w:t>IRC</w:t>
      </w:r>
      <w:r w:rsidRPr="00E57EDF">
        <w:rPr>
          <w:rFonts w:asciiTheme="minorHAnsi" w:eastAsia="Arial Unicode MS" w:hAnsiTheme="minorHAnsi" w:cstheme="minorHAnsi"/>
          <w:lang w:eastAsia="en-GB"/>
        </w:rPr>
        <w:t>.</w:t>
      </w:r>
    </w:p>
    <w:p w14:paraId="49B7199D" w14:textId="77777777" w:rsidR="00457B6E" w:rsidRPr="00D24904" w:rsidRDefault="00457B6E" w:rsidP="00457B6E">
      <w:pPr>
        <w:spacing w:after="0" w:line="240" w:lineRule="auto"/>
        <w:jc w:val="both"/>
        <w:rPr>
          <w:rFonts w:asciiTheme="minorHAnsi" w:eastAsia="Arial Unicode MS" w:hAnsiTheme="minorHAnsi" w:cstheme="minorHAnsi"/>
          <w:lang w:eastAsia="en-GB"/>
        </w:rPr>
      </w:pPr>
    </w:p>
    <w:p w14:paraId="105E7607" w14:textId="77777777" w:rsidR="00457B6E" w:rsidRPr="00D24904" w:rsidRDefault="00457B6E" w:rsidP="00457B6E">
      <w:pPr>
        <w:spacing w:after="0" w:line="240" w:lineRule="auto"/>
        <w:contextualSpacing/>
        <w:rPr>
          <w:rFonts w:asciiTheme="minorHAnsi" w:eastAsia="Arial Unicode MS" w:hAnsiTheme="minorHAnsi" w:cstheme="minorHAnsi"/>
          <w:lang w:eastAsia="en-GB"/>
        </w:rPr>
      </w:pPr>
      <w:r w:rsidRPr="00D24904">
        <w:rPr>
          <w:rFonts w:asciiTheme="minorHAnsi" w:eastAsia="Arial Unicode MS" w:hAnsiTheme="minorHAnsi" w:cstheme="minorHAnsi"/>
          <w:lang w:eastAsia="en-GB"/>
        </w:rPr>
        <w:t>ENDS</w:t>
      </w:r>
    </w:p>
    <w:p w14:paraId="567B625B" w14:textId="77777777" w:rsidR="00D24285" w:rsidRDefault="00ED6C4B"/>
    <w:sectPr w:rsidR="00D242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577D" w14:textId="77777777" w:rsidR="00457B6E" w:rsidRDefault="00457B6E" w:rsidP="00457B6E">
      <w:pPr>
        <w:spacing w:after="0" w:line="240" w:lineRule="auto"/>
      </w:pPr>
      <w:r>
        <w:separator/>
      </w:r>
    </w:p>
  </w:endnote>
  <w:endnote w:type="continuationSeparator" w:id="0">
    <w:p w14:paraId="599D06BF" w14:textId="77777777" w:rsidR="00457B6E" w:rsidRDefault="00457B6E" w:rsidP="0045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52ED" w14:textId="77777777" w:rsidR="00457B6E" w:rsidRDefault="00457B6E" w:rsidP="00457B6E">
      <w:pPr>
        <w:spacing w:after="0" w:line="240" w:lineRule="auto"/>
      </w:pPr>
      <w:r>
        <w:separator/>
      </w:r>
    </w:p>
  </w:footnote>
  <w:footnote w:type="continuationSeparator" w:id="0">
    <w:p w14:paraId="6639F5D4" w14:textId="77777777" w:rsidR="00457B6E" w:rsidRDefault="00457B6E" w:rsidP="0045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21E9" w14:textId="680E5ED0" w:rsidR="00457B6E" w:rsidRDefault="00457B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84003" wp14:editId="511EA7C1">
          <wp:simplePos x="0" y="0"/>
          <wp:positionH relativeFrom="page">
            <wp:align>right</wp:align>
          </wp:positionH>
          <wp:positionV relativeFrom="paragraph">
            <wp:posOffset>-432435</wp:posOffset>
          </wp:positionV>
          <wp:extent cx="7548880" cy="1473835"/>
          <wp:effectExtent l="0" t="0" r="0" b="0"/>
          <wp:wrapTopAndBottom/>
          <wp:docPr id="1" name="Picture 1" descr="Production_04:Users:production04:Documents:CCD04-DEARBHLA:CCD04-DEARBHLA-ARTWORK:HEA | IRC:03928-IRC-Letterhead+ComplimentSlip-Word-DOC:03928-IRC-Stationery-Proof#01-DOC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Production_04:Users:production04:Documents:CCD04-DEARBHLA:CCD04-DEARBHLA-ARTWORK:HEA | IRC:03928-IRC-Letterhead+ComplimentSlip-Word-DOC:03928-IRC-Stationery-Proof#01-DO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31C"/>
    <w:multiLevelType w:val="hybridMultilevel"/>
    <w:tmpl w:val="571645E2"/>
    <w:lvl w:ilvl="0" w:tplc="F634E122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D3C18"/>
    <w:multiLevelType w:val="hybridMultilevel"/>
    <w:tmpl w:val="30CA11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37699"/>
    <w:multiLevelType w:val="hybridMultilevel"/>
    <w:tmpl w:val="DCB83A8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E6419"/>
    <w:multiLevelType w:val="hybridMultilevel"/>
    <w:tmpl w:val="A106EB64"/>
    <w:lvl w:ilvl="0" w:tplc="0A4C5D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4820913">
    <w:abstractNumId w:val="0"/>
  </w:num>
  <w:num w:numId="2" w16cid:durableId="26376483">
    <w:abstractNumId w:val="3"/>
  </w:num>
  <w:num w:numId="3" w16cid:durableId="281692499">
    <w:abstractNumId w:val="2"/>
  </w:num>
  <w:num w:numId="4" w16cid:durableId="41124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6E"/>
    <w:rsid w:val="001B0443"/>
    <w:rsid w:val="001C0248"/>
    <w:rsid w:val="00457B6E"/>
    <w:rsid w:val="006F1875"/>
    <w:rsid w:val="00976DED"/>
    <w:rsid w:val="00AE5C7A"/>
    <w:rsid w:val="00B74331"/>
    <w:rsid w:val="00D37214"/>
    <w:rsid w:val="00E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53DFA"/>
  <w15:chartTrackingRefBased/>
  <w15:docId w15:val="{C3CAF7F8-CD67-4F12-9B2C-CDE35EA7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7B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57B6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6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7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33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33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Lafaye</dc:creator>
  <cp:keywords/>
  <dc:description/>
  <cp:lastModifiedBy>Clare Moriarty</cp:lastModifiedBy>
  <cp:revision>2</cp:revision>
  <dcterms:created xsi:type="dcterms:W3CDTF">2023-04-06T15:35:00Z</dcterms:created>
  <dcterms:modified xsi:type="dcterms:W3CDTF">2023-04-06T15:35:00Z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eobrien@research.ie</vt:lpwstr>
  </property>
  <property fmtid="{D5CDD505-2E9C-101B-9397-08002B2CF9AE}" pid="5" name="MSIP_Label_86a2108b-8015-45b4-a03b-cf4c4afb0df7_SetDate">
    <vt:lpwstr>2020-08-31T16:45:07.5534859Z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af96ac41-474f-4daa-b71b-cd6f19e0a396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